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w:t>
      </w:r>
      <w:r w:rsidDel="00000000" w:rsidR="00000000" w:rsidRPr="00000000">
        <w:rPr>
          <w:rFonts w:ascii="Arial" w:cs="Arial" w:eastAsia="Arial" w:hAnsi="Arial"/>
          <w:b w:val="1"/>
          <w:sz w:val="24"/>
          <w:szCs w:val="24"/>
          <w:rtl w:val="0"/>
        </w:rPr>
        <w:t xml:space="preserve">is Commercially</w:t>
      </w:r>
      <w:r w:rsidDel="00000000" w:rsidR="00000000" w:rsidRPr="00000000">
        <w:rPr>
          <w:rFonts w:ascii="Arial" w:cs="Arial" w:eastAsia="Arial" w:hAnsi="Arial"/>
          <w:b w:val="1"/>
          <w:color w:val="000000"/>
          <w:sz w:val="24"/>
          <w:szCs w:val="24"/>
          <w:rtl w:val="0"/>
        </w:rPr>
        <w:t xml:space="preserve">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576"/>
        <w:jc w:val="both"/>
        <w:rPr>
          <w:color w:val="000000"/>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tcBorders>
              <w:bottom w:color="000000" w:space="0" w:sz="4" w:val="single"/>
            </w:tcBorders>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w:t>
            </w:r>
          </w:p>
        </w:tc>
        <w:tc>
          <w:tcPr>
            <w:tcBorders>
              <w:bottom w:color="000000" w:space="0" w:sz="4" w:val="single"/>
            </w:tcBorders>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Date</w:t>
            </w:r>
          </w:p>
        </w:tc>
        <w:tc>
          <w:tcPr>
            <w:tcBorders>
              <w:bottom w:color="000000" w:space="0" w:sz="4" w:val="single"/>
            </w:tcBorders>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Item(s)</w:t>
            </w:r>
          </w:p>
        </w:tc>
        <w:tc>
          <w:tcPr>
            <w:tcBorders>
              <w:bottom w:color="000000" w:space="0" w:sz="4" w:val="single"/>
            </w:tcBorders>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Duration of Confidentiality</w:t>
            </w:r>
          </w:p>
        </w:tc>
      </w:tr>
    </w:tbl>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4"/>
          <w:szCs w:val="24"/>
        </w:rPr>
      </w:pPr>
      <w:r w:rsidDel="00000000" w:rsidR="00000000" w:rsidRPr="00000000">
        <w:rPr>
          <w:rtl w:val="0"/>
        </w:rPr>
      </w:r>
    </w:p>
    <w:tbl>
      <w:tblPr>
        <w:tblStyle w:val="Table2"/>
        <w:tblW w:w="7938.0" w:type="dxa"/>
        <w:jc w:val="left"/>
        <w:tblInd w:w="98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38"/>
        <w:tblGridChange w:id="0">
          <w:tblGrid>
            <w:gridCol w:w="7938"/>
          </w:tblGrid>
        </w:tblGridChange>
      </w:tblGrid>
      <w:tr>
        <w:trPr>
          <w:cantSplit w:val="0"/>
          <w:tblHeader w:val="0"/>
        </w:trPr>
        <w:tc>
          <w:tcPr/>
          <w:p w:rsidR="00000000" w:rsidDel="00000000" w:rsidP="00000000" w:rsidRDefault="00000000" w:rsidRPr="00000000" w14:paraId="0000000C">
            <w:pPr>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sz w:val="24"/>
                <w:szCs w:val="24"/>
                <w:rtl w:val="0"/>
              </w:rPr>
              <w:t xml:space="preserve">Date: </w:t>
              <w:br w:type="textWrapping"/>
              <w:t xml:space="preserve">Details: Rates</w:t>
              <w:br w:type="textWrapping"/>
              <w:t xml:space="preserve">Duration of confidentiality: perpetual</w:t>
            </w:r>
          </w:p>
        </w:tc>
      </w:tr>
    </w:tbl>
    <w:p w:rsidR="00000000" w:rsidDel="00000000" w:rsidP="00000000" w:rsidRDefault="00000000" w:rsidRPr="00000000" w14:paraId="0000000D">
      <w:pPr>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RM6263</w:t>
      <w:tab/>
      <w:t xml:space="preserve">                                           </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